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3719C" w:rsidRPr="00C706F0" w:rsidRDefault="00C706F0">
      <w:pPr>
        <w:rPr>
          <w:b/>
          <w:lang w:val="it-IT"/>
        </w:rPr>
      </w:pPr>
      <w:r w:rsidRPr="00C706F0">
        <w:rPr>
          <w:b/>
          <w:lang w:val="it-IT"/>
        </w:rPr>
        <w:t>Obiettivo della ricerca:</w:t>
      </w:r>
    </w:p>
    <w:p w14:paraId="00000002" w14:textId="77777777" w:rsidR="0003719C" w:rsidRPr="00C706F0" w:rsidRDefault="0003719C">
      <w:pPr>
        <w:rPr>
          <w:b/>
          <w:lang w:val="it-IT"/>
        </w:rPr>
      </w:pPr>
    </w:p>
    <w:p w14:paraId="00000003" w14:textId="77777777" w:rsidR="0003719C" w:rsidRPr="00C706F0" w:rsidRDefault="00C706F0">
      <w:pPr>
        <w:jc w:val="both"/>
        <w:rPr>
          <w:lang w:val="it-IT"/>
        </w:rPr>
      </w:pPr>
      <w:r w:rsidRPr="00C706F0">
        <w:rPr>
          <w:lang w:val="it-IT"/>
        </w:rPr>
        <w:t xml:space="preserve">Conoscere se e come l’emergenza COVID-19 ha impattato sul personale sanitario, in termini di esperienze e di vissuti, e quali strategie di adattamento (coping) sono state messe in campo per fronteggiare tale situazione, caratterizzata da incertezza e alti </w:t>
      </w:r>
      <w:r w:rsidRPr="00C706F0">
        <w:rPr>
          <w:lang w:val="it-IT"/>
        </w:rPr>
        <w:t xml:space="preserve">livello di rischio. </w:t>
      </w:r>
    </w:p>
    <w:p w14:paraId="00000004" w14:textId="77777777" w:rsidR="0003719C" w:rsidRPr="00C706F0" w:rsidRDefault="0003719C">
      <w:pPr>
        <w:rPr>
          <w:b/>
          <w:lang w:val="it-IT"/>
        </w:rPr>
      </w:pPr>
    </w:p>
    <w:p w14:paraId="00000005" w14:textId="77777777" w:rsidR="0003719C" w:rsidRPr="00C706F0" w:rsidRDefault="0003719C">
      <w:pPr>
        <w:rPr>
          <w:b/>
          <w:lang w:val="it-IT"/>
        </w:rPr>
      </w:pPr>
    </w:p>
    <w:p w14:paraId="00000006" w14:textId="77777777" w:rsidR="0003719C" w:rsidRPr="00C706F0" w:rsidRDefault="00C706F0">
      <w:pPr>
        <w:rPr>
          <w:b/>
          <w:lang w:val="it-IT"/>
        </w:rPr>
      </w:pPr>
      <w:r w:rsidRPr="00C706F0">
        <w:rPr>
          <w:b/>
          <w:lang w:val="it-IT"/>
        </w:rPr>
        <w:t>Metodo</w:t>
      </w:r>
    </w:p>
    <w:p w14:paraId="00000007" w14:textId="77777777" w:rsidR="0003719C" w:rsidRPr="00C706F0" w:rsidRDefault="0003719C">
      <w:pPr>
        <w:rPr>
          <w:b/>
          <w:lang w:val="it-IT"/>
        </w:rPr>
      </w:pPr>
    </w:p>
    <w:p w14:paraId="00000008" w14:textId="77777777" w:rsidR="0003719C" w:rsidRPr="00C706F0" w:rsidRDefault="0003719C">
      <w:pPr>
        <w:rPr>
          <w:b/>
          <w:lang w:val="it-IT"/>
        </w:rPr>
      </w:pPr>
    </w:p>
    <w:p w14:paraId="00000009" w14:textId="77777777" w:rsidR="0003719C" w:rsidRPr="00C706F0" w:rsidRDefault="00C706F0">
      <w:pPr>
        <w:jc w:val="both"/>
        <w:rPr>
          <w:lang w:val="it-IT"/>
        </w:rPr>
      </w:pPr>
      <w:r w:rsidRPr="00C706F0">
        <w:rPr>
          <w:b/>
          <w:lang w:val="it-IT"/>
        </w:rPr>
        <w:t xml:space="preserve">Partecipanti e procedure: </w:t>
      </w:r>
      <w:r w:rsidRPr="00C706F0">
        <w:rPr>
          <w:lang w:val="it-IT"/>
        </w:rPr>
        <w:t>campione di convenienza costituito da medici e infermieri in servizio presso ospedali, case di cura, strutture per anziani, ambulatori del territorio etc.</w:t>
      </w:r>
    </w:p>
    <w:p w14:paraId="0000000A" w14:textId="77777777" w:rsidR="0003719C" w:rsidRPr="00C706F0" w:rsidRDefault="00C706F0">
      <w:pPr>
        <w:jc w:val="both"/>
        <w:rPr>
          <w:lang w:val="it-IT"/>
        </w:rPr>
      </w:pPr>
      <w:r w:rsidRPr="00C706F0">
        <w:rPr>
          <w:lang w:val="it-IT"/>
        </w:rPr>
        <w:t>I responsabili della ricerca, nel mese di m</w:t>
      </w:r>
      <w:r w:rsidRPr="00C706F0">
        <w:rPr>
          <w:lang w:val="it-IT"/>
        </w:rPr>
        <w:t>aggio 2020 hanno inviato email a tutti i presidenti e/o segreterie degli ordini dei medici e infermieri italiani e a numerose associazioni con la richiesta di disponibilità a pubblicare sulle loro pagine web (o a inviare tramite email ai propri iscritti) i</w:t>
      </w:r>
      <w:r w:rsidRPr="00C706F0">
        <w:rPr>
          <w:lang w:val="it-IT"/>
        </w:rPr>
        <w:t xml:space="preserve">l link a un questionario avente le finalità indicate nel paragrafo precedente. </w:t>
      </w:r>
    </w:p>
    <w:p w14:paraId="0000000B" w14:textId="77777777" w:rsidR="0003719C" w:rsidRPr="00C706F0" w:rsidRDefault="00C706F0">
      <w:pPr>
        <w:jc w:val="both"/>
        <w:rPr>
          <w:lang w:val="it-IT"/>
        </w:rPr>
      </w:pPr>
      <w:r w:rsidRPr="00C706F0">
        <w:rPr>
          <w:lang w:val="it-IT"/>
        </w:rPr>
        <w:t xml:space="preserve">Per la compilazione online del questionario sono necessari circa 15 minuti. </w:t>
      </w:r>
    </w:p>
    <w:p w14:paraId="0000000C" w14:textId="77777777" w:rsidR="0003719C" w:rsidRPr="00C706F0" w:rsidRDefault="00C706F0">
      <w:pPr>
        <w:jc w:val="both"/>
        <w:rPr>
          <w:lang w:val="it-IT"/>
        </w:rPr>
      </w:pPr>
      <w:r w:rsidRPr="00C706F0">
        <w:rPr>
          <w:lang w:val="it-IT"/>
        </w:rPr>
        <w:t>Nella prima pagina del questionario, oltre agli obiettivi della ricerca, sono inseriti i riferiment</w:t>
      </w:r>
      <w:r w:rsidRPr="00C706F0">
        <w:rPr>
          <w:lang w:val="it-IT"/>
        </w:rPr>
        <w:t xml:space="preserve">i alla normativa vigente, italiana ed europea, in materia di privacy (che è stata seguita dai ricercatori). </w:t>
      </w:r>
    </w:p>
    <w:p w14:paraId="0000000D" w14:textId="77777777" w:rsidR="0003719C" w:rsidRPr="00C706F0" w:rsidRDefault="00C706F0">
      <w:pPr>
        <w:jc w:val="both"/>
        <w:rPr>
          <w:lang w:val="it-IT"/>
        </w:rPr>
      </w:pPr>
      <w:r w:rsidRPr="00C706F0">
        <w:rPr>
          <w:lang w:val="it-IT"/>
        </w:rPr>
        <w:t>Ai partecipanti è garantito l’anonimato.</w:t>
      </w:r>
    </w:p>
    <w:p w14:paraId="0000000E" w14:textId="77777777" w:rsidR="0003719C" w:rsidRPr="00C706F0" w:rsidRDefault="0003719C">
      <w:pPr>
        <w:jc w:val="both"/>
        <w:rPr>
          <w:color w:val="FF0000"/>
          <w:lang w:val="it-IT"/>
        </w:rPr>
      </w:pPr>
    </w:p>
    <w:p w14:paraId="0000000F" w14:textId="77777777" w:rsidR="0003719C" w:rsidRPr="00C706F0" w:rsidRDefault="0003719C">
      <w:pPr>
        <w:jc w:val="both"/>
        <w:rPr>
          <w:lang w:val="it-IT"/>
        </w:rPr>
      </w:pPr>
    </w:p>
    <w:p w14:paraId="00000010" w14:textId="77777777" w:rsidR="0003719C" w:rsidRPr="00C706F0" w:rsidRDefault="00C706F0">
      <w:pPr>
        <w:jc w:val="both"/>
        <w:rPr>
          <w:b/>
          <w:lang w:val="it-IT"/>
        </w:rPr>
      </w:pPr>
      <w:r w:rsidRPr="00C706F0">
        <w:rPr>
          <w:b/>
          <w:sz w:val="21"/>
          <w:szCs w:val="21"/>
          <w:lang w:val="it-IT"/>
        </w:rPr>
        <w:t>Modalità di diffusione dei risultati</w:t>
      </w:r>
      <w:r w:rsidRPr="00C706F0">
        <w:rPr>
          <w:sz w:val="21"/>
          <w:szCs w:val="21"/>
          <w:lang w:val="it-IT"/>
        </w:rPr>
        <w:t>: pubblicazioni di carattere scientifico, seminari, conferenze.</w:t>
      </w:r>
    </w:p>
    <w:p w14:paraId="00000011" w14:textId="77777777" w:rsidR="0003719C" w:rsidRPr="00C706F0" w:rsidRDefault="0003719C">
      <w:pPr>
        <w:jc w:val="both"/>
        <w:rPr>
          <w:b/>
          <w:lang w:val="it-IT"/>
        </w:rPr>
      </w:pPr>
    </w:p>
    <w:p w14:paraId="00000012" w14:textId="77777777" w:rsidR="0003719C" w:rsidRPr="00C706F0" w:rsidRDefault="0003719C">
      <w:pPr>
        <w:jc w:val="both"/>
        <w:rPr>
          <w:lang w:val="it-IT"/>
        </w:rPr>
      </w:pPr>
    </w:p>
    <w:p w14:paraId="00000013" w14:textId="77777777" w:rsidR="0003719C" w:rsidRPr="00C706F0" w:rsidRDefault="00C706F0">
      <w:pPr>
        <w:rPr>
          <w:lang w:val="it-IT"/>
        </w:rPr>
      </w:pPr>
      <w:r w:rsidRPr="00C706F0">
        <w:rPr>
          <w:b/>
          <w:lang w:val="it-IT"/>
        </w:rPr>
        <w:t>Mi</w:t>
      </w:r>
      <w:r w:rsidRPr="00C706F0">
        <w:rPr>
          <w:b/>
          <w:lang w:val="it-IT"/>
        </w:rPr>
        <w:t xml:space="preserve">sure: </w:t>
      </w:r>
      <w:r w:rsidRPr="00C706F0">
        <w:rPr>
          <w:lang w:val="it-IT"/>
        </w:rPr>
        <w:t>dopo una batteria di domande demografiche, si chiede ai partecipanti di rispondere a una serie di items relativi alle seguenti scale.</w:t>
      </w:r>
    </w:p>
    <w:p w14:paraId="00000014" w14:textId="77777777" w:rsidR="0003719C" w:rsidRPr="00C706F0" w:rsidRDefault="0003719C">
      <w:pPr>
        <w:rPr>
          <w:lang w:val="it-IT"/>
        </w:rPr>
      </w:pPr>
    </w:p>
    <w:p w14:paraId="00000015" w14:textId="77777777" w:rsidR="0003719C" w:rsidRPr="00C706F0" w:rsidRDefault="00C706F0">
      <w:pPr>
        <w:numPr>
          <w:ilvl w:val="0"/>
          <w:numId w:val="2"/>
        </w:numPr>
        <w:jc w:val="both"/>
        <w:rPr>
          <w:lang w:val="it-IT"/>
        </w:rPr>
      </w:pPr>
      <w:r w:rsidRPr="00C706F0">
        <w:rPr>
          <w:b/>
          <w:lang w:val="it-IT"/>
        </w:rPr>
        <w:t>Personalità</w:t>
      </w:r>
      <w:r w:rsidRPr="00C706F0">
        <w:rPr>
          <w:lang w:val="it-IT"/>
        </w:rPr>
        <w:t>: Le differenze individuali, i pattern caratteristici delle persone in termini di pensiero, sentimento e</w:t>
      </w:r>
      <w:r w:rsidRPr="00C706F0">
        <w:rPr>
          <w:lang w:val="it-IT"/>
        </w:rPr>
        <w:t xml:space="preserve"> comportamento, possono essere descritte adoperando i tratti del modello teorico “BIG-5” (Goldberg, 1993; John, Naumann, &amp; Soto, 2008; McCrae &amp; Costa, 2008). Una considerevole quantità di ricerche, in tal senso, è stata condotta adoperando il BFI (Big Five</w:t>
      </w:r>
      <w:r w:rsidRPr="00C706F0">
        <w:rPr>
          <w:lang w:val="it-IT"/>
        </w:rPr>
        <w:t xml:space="preserve"> Inventory, John, Donahue, &amp; Kentle, 1991; see John &amp; Srivastava, 1999; John et al., 2008). Un recente aggiornamento è rappresentato dal BFI-2 (Soto &amp; John, 2017a), in cui i cinque ampi domini del BIG-5 sono concettualizzati gerarchicamente, con ciascun tr</w:t>
      </w:r>
      <w:r w:rsidRPr="00C706F0">
        <w:rPr>
          <w:lang w:val="it-IT"/>
        </w:rPr>
        <w:t>atto che comprende tre sotto-tratti più specifici. Internamente alla nostra ricerca abbiamo adoperato la versione tradotta a 30 item del BFI-2 (Soto &amp; John, 2017b).</w:t>
      </w:r>
    </w:p>
    <w:p w14:paraId="00000016" w14:textId="77777777" w:rsidR="0003719C" w:rsidRDefault="00C706F0">
      <w:pPr>
        <w:numPr>
          <w:ilvl w:val="0"/>
          <w:numId w:val="2"/>
        </w:numPr>
        <w:jc w:val="both"/>
      </w:pPr>
      <w:r w:rsidRPr="00C706F0">
        <w:rPr>
          <w:b/>
          <w:lang w:val="it-IT"/>
        </w:rPr>
        <w:t xml:space="preserve">Stress percepito </w:t>
      </w:r>
      <w:r w:rsidRPr="00C706F0">
        <w:rPr>
          <w:lang w:val="it-IT"/>
        </w:rPr>
        <w:t xml:space="preserve">(IPPS-10): è la versione italiana della </w:t>
      </w:r>
      <w:r w:rsidRPr="00C706F0">
        <w:rPr>
          <w:i/>
          <w:highlight w:val="white"/>
          <w:lang w:val="it-IT"/>
        </w:rPr>
        <w:t xml:space="preserve">Perceived stress scale </w:t>
      </w:r>
      <w:r w:rsidRPr="00C706F0">
        <w:rPr>
          <w:highlight w:val="white"/>
          <w:lang w:val="it-IT"/>
        </w:rPr>
        <w:t>(lo strumen</w:t>
      </w:r>
      <w:r w:rsidRPr="00C706F0">
        <w:rPr>
          <w:highlight w:val="white"/>
          <w:lang w:val="it-IT"/>
        </w:rPr>
        <w:t>to psicologico più utilizzato per misurare la percezione dello stress). È stata tradotta nel 2010 da Fossati (Vita-Salute San Raffaele University of Milano), con il permesso dell’American Sociological Association. La scala è costituita da 10 items che han</w:t>
      </w:r>
      <w:r w:rsidRPr="00C706F0">
        <w:rPr>
          <w:highlight w:val="white"/>
          <w:lang w:val="it-IT"/>
        </w:rPr>
        <w:t xml:space="preserve">no l’obiettivo di misurare il grado in cui le persone valutano come stressanti le situazioni della loro vita. “Gli item sono stati costruiti per intercettare il livello in cui le </w:t>
      </w:r>
      <w:r w:rsidRPr="00C706F0">
        <w:rPr>
          <w:highlight w:val="white"/>
          <w:lang w:val="it-IT"/>
        </w:rPr>
        <w:lastRenderedPageBreak/>
        <w:t>persone che rispondono al test trovano le loro vite imprevedibili, incontroll</w:t>
      </w:r>
      <w:r w:rsidRPr="00C706F0">
        <w:rPr>
          <w:highlight w:val="white"/>
          <w:lang w:val="it-IT"/>
        </w:rPr>
        <w:t>abili o sovraccariche. La scala contiene anche una serie di domande dirette sui livelli attuali di stress percepito [...]. Le domande della PSS riguardano i sentimenti e i pensieri relativi all’ultimo mese. Per ciascun item, alle persone viene chiesto di i</w:t>
      </w:r>
      <w:r w:rsidRPr="00C706F0">
        <w:rPr>
          <w:highlight w:val="white"/>
          <w:lang w:val="it-IT"/>
        </w:rPr>
        <w:t xml:space="preserve">ndicare con che frequenza si sono sentite in un certo modo” (Fossati, 2010, p. 1). </w:t>
      </w:r>
      <w:proofErr w:type="spellStart"/>
      <w:r>
        <w:rPr>
          <w:highlight w:val="white"/>
        </w:rPr>
        <w:t>Likert</w:t>
      </w:r>
      <w:proofErr w:type="spellEnd"/>
      <w:r>
        <w:rPr>
          <w:highlight w:val="white"/>
        </w:rPr>
        <w:t xml:space="preserve"> a 5 </w:t>
      </w:r>
      <w:proofErr w:type="spellStart"/>
      <w:r>
        <w:rPr>
          <w:highlight w:val="white"/>
        </w:rPr>
        <w:t>punti</w:t>
      </w:r>
      <w:proofErr w:type="spellEnd"/>
      <w:r>
        <w:rPr>
          <w:highlight w:val="white"/>
        </w:rPr>
        <w:t xml:space="preserve"> con 0 = </w:t>
      </w:r>
      <w:proofErr w:type="spellStart"/>
      <w:r>
        <w:rPr>
          <w:highlight w:val="white"/>
        </w:rPr>
        <w:t>mai</w:t>
      </w:r>
      <w:proofErr w:type="spellEnd"/>
      <w:r>
        <w:rPr>
          <w:highlight w:val="white"/>
        </w:rPr>
        <w:t xml:space="preserve">, 4 = molto </w:t>
      </w:r>
      <w:proofErr w:type="spellStart"/>
      <w:r>
        <w:rPr>
          <w:highlight w:val="white"/>
        </w:rPr>
        <w:t>spesso</w:t>
      </w:r>
      <w:proofErr w:type="spellEnd"/>
      <w:r>
        <w:rPr>
          <w:highlight w:val="white"/>
        </w:rPr>
        <w:t xml:space="preserve">). </w:t>
      </w:r>
    </w:p>
    <w:p w14:paraId="00000017" w14:textId="77777777" w:rsidR="0003719C" w:rsidRPr="00C706F0" w:rsidRDefault="00C706F0">
      <w:pPr>
        <w:numPr>
          <w:ilvl w:val="0"/>
          <w:numId w:val="2"/>
        </w:numPr>
        <w:jc w:val="both"/>
        <w:rPr>
          <w:lang w:val="it-IT"/>
        </w:rPr>
      </w:pPr>
      <w:r w:rsidRPr="00C706F0">
        <w:rPr>
          <w:b/>
          <w:lang w:val="it-IT"/>
        </w:rPr>
        <w:t>Brief cope scale</w:t>
      </w:r>
      <w:r w:rsidRPr="00C706F0">
        <w:rPr>
          <w:lang w:val="it-IT"/>
        </w:rPr>
        <w:t>: è una scala costituita da 28 items e tradotta in molte lingue. La traduzione italiana dell’originale ingl</w:t>
      </w:r>
      <w:r w:rsidRPr="00C706F0">
        <w:rPr>
          <w:lang w:val="it-IT"/>
        </w:rPr>
        <w:t xml:space="preserve">ese è stata effettuata dal nostro gruppo di ricerca, con la supervisione di un collega madrelingua. La BRIEF-COPE inventory è la versione abbreviata (Carver, 1997) della COPE = </w:t>
      </w:r>
      <w:r w:rsidRPr="00C706F0">
        <w:rPr>
          <w:color w:val="131413"/>
          <w:lang w:val="it-IT"/>
        </w:rPr>
        <w:t>Coping Orientation to Problems Experienced Inventory (</w:t>
      </w:r>
      <w:r w:rsidRPr="00C706F0">
        <w:rPr>
          <w:lang w:val="it-IT"/>
        </w:rPr>
        <w:t>Carver, Scheier, &amp; Weintr</w:t>
      </w:r>
      <w:r w:rsidRPr="00C706F0">
        <w:rPr>
          <w:lang w:val="it-IT"/>
        </w:rPr>
        <w:t>aub,1989). La BRIEF manca di due sottoscale presenti nella versione lunga e riduce a 2 gli items per ciascuna delle sottoscale rimanenti. Viene somministrata a popolazioni che hanno vissuto situazioni stressanti (</w:t>
      </w:r>
      <w:r w:rsidRPr="00C706F0">
        <w:rPr>
          <w:color w:val="131413"/>
          <w:lang w:val="it-IT"/>
        </w:rPr>
        <w:t>García et al. 2018). I due stili di coping</w:t>
      </w:r>
      <w:r w:rsidRPr="00C706F0">
        <w:rPr>
          <w:color w:val="131413"/>
          <w:lang w:val="it-IT"/>
        </w:rPr>
        <w:t xml:space="preserve"> generali identificati sono (1) di evitamento (</w:t>
      </w:r>
      <w:r w:rsidRPr="00C706F0">
        <w:rPr>
          <w:i/>
          <w:color w:val="131413"/>
          <w:lang w:val="it-IT"/>
        </w:rPr>
        <w:t>avoidant</w:t>
      </w:r>
      <w:r w:rsidRPr="00C706F0">
        <w:rPr>
          <w:color w:val="131413"/>
          <w:lang w:val="it-IT"/>
        </w:rPr>
        <w:t>) e (2) di approccio (</w:t>
      </w:r>
      <w:r w:rsidRPr="00C706F0">
        <w:rPr>
          <w:i/>
          <w:color w:val="131413"/>
          <w:lang w:val="it-IT"/>
        </w:rPr>
        <w:t>approach</w:t>
      </w:r>
      <w:r w:rsidRPr="00C706F0">
        <w:rPr>
          <w:color w:val="131413"/>
          <w:lang w:val="it-IT"/>
        </w:rPr>
        <w:t>). Quello di evitamento è caratterizzato dalle sottoscale di negazione, uso di sostanze, sfogo (comunicazione di sentimenti negativi), disimpegno comportamentale, auto-dis</w:t>
      </w:r>
      <w:r w:rsidRPr="00C706F0">
        <w:rPr>
          <w:color w:val="131413"/>
          <w:lang w:val="it-IT"/>
        </w:rPr>
        <w:t xml:space="preserve">trazione e senso di colpa. Quello di approccio è caratterizzato invece dalle sottoscale di coping attivo, riqualificazione positiva, pianificazione, accettazione, ricerca di supporto emotivo e ricerca di supporto informativo. </w:t>
      </w:r>
    </w:p>
    <w:p w14:paraId="00000018" w14:textId="77777777" w:rsidR="0003719C" w:rsidRPr="00C706F0" w:rsidRDefault="00C706F0">
      <w:pPr>
        <w:numPr>
          <w:ilvl w:val="0"/>
          <w:numId w:val="2"/>
        </w:numPr>
        <w:jc w:val="both"/>
        <w:rPr>
          <w:lang w:val="it-IT"/>
        </w:rPr>
      </w:pPr>
      <w:r w:rsidRPr="00C706F0">
        <w:rPr>
          <w:b/>
          <w:lang w:val="it-IT"/>
        </w:rPr>
        <w:t>Humor coping scale</w:t>
      </w:r>
      <w:r w:rsidRPr="00C706F0">
        <w:rPr>
          <w:lang w:val="it-IT"/>
        </w:rPr>
        <w:t>: è una sca</w:t>
      </w:r>
      <w:r w:rsidRPr="00C706F0">
        <w:rPr>
          <w:lang w:val="it-IT"/>
        </w:rPr>
        <w:t>la costituita da 7 items, tradotta in più di dieci lingue. Il suo largo utilizzo ha confermato la validità di costrutto e l’affidabilità della scala. Viene utilizzata per individuare quanto le persone ricorrano nella propria vita all’umorismo per fronteggi</w:t>
      </w:r>
      <w:r w:rsidRPr="00C706F0">
        <w:rPr>
          <w:lang w:val="it-IT"/>
        </w:rPr>
        <w:t xml:space="preserve">are situazioni stressanti e difficili (Martin &amp; Lefcourt, 1983).  </w:t>
      </w:r>
    </w:p>
    <w:p w14:paraId="00000019" w14:textId="77777777" w:rsidR="0003719C" w:rsidRPr="00C706F0" w:rsidRDefault="00C706F0">
      <w:pPr>
        <w:numPr>
          <w:ilvl w:val="0"/>
          <w:numId w:val="2"/>
        </w:numPr>
        <w:jc w:val="both"/>
        <w:rPr>
          <w:lang w:val="it-IT"/>
        </w:rPr>
      </w:pPr>
      <w:r w:rsidRPr="00C706F0">
        <w:rPr>
          <w:b/>
          <w:lang w:val="it-IT"/>
        </w:rPr>
        <w:t xml:space="preserve">IUS -12. </w:t>
      </w:r>
      <w:r w:rsidRPr="00C706F0">
        <w:rPr>
          <w:lang w:val="it-IT"/>
        </w:rPr>
        <w:t>È una scala per la misurazione della tolleranza all’incertezza. IUS-12 è una scala a 2 fattori che costituisce la versione ridotta (Carleton et al., 2007) di una precedente scala d</w:t>
      </w:r>
      <w:r w:rsidRPr="00C706F0">
        <w:rPr>
          <w:lang w:val="it-IT"/>
        </w:rPr>
        <w:t xml:space="preserve">i 27 items (IUS-27, Buhr &amp; Dugas, 2002; Norton, 2005). </w:t>
      </w:r>
      <w:r>
        <w:t xml:space="preserve">“The two factors were described as Prospective and Inhibitory dimensions of IU (Carleton et al., 2007; </w:t>
      </w:r>
      <w:proofErr w:type="spellStart"/>
      <w:r>
        <w:t>McEvoy</w:t>
      </w:r>
      <w:proofErr w:type="spellEnd"/>
      <w:r>
        <w:t xml:space="preserve"> &amp; Mahoney, 2011). “The former reflect desire for predictability and active engagement in in</w:t>
      </w:r>
      <w:r>
        <w:t>formation seeking to increase certainty; the latter reflect uncertainty avoidance and paralysis in the face of uncertainty” (</w:t>
      </w:r>
      <w:proofErr w:type="spellStart"/>
      <w:r>
        <w:t>Lauriola</w:t>
      </w:r>
      <w:proofErr w:type="spellEnd"/>
      <w:r>
        <w:t xml:space="preserve"> et al. 2016, p. 377).  </w:t>
      </w:r>
      <w:r w:rsidRPr="00C706F0">
        <w:rPr>
          <w:lang w:val="it-IT"/>
        </w:rPr>
        <w:t>Quindi i 2 fattori sono: (1)  desiderio di prevedibilità e impegno attivo nella ricerca di informaz</w:t>
      </w:r>
      <w:r w:rsidRPr="00C706F0">
        <w:rPr>
          <w:lang w:val="it-IT"/>
        </w:rPr>
        <w:t>ioni utili ad aumentare la certezza (items 8-12);  (2) evitamento dell'incertezza e paralisi di fronte all'incertezza (items, 1-7). Botassi et a.l (2015, 2019) e  Lauriola et al. (2016) hanno validato due diverse versione italiane della IUS-12 .</w:t>
      </w:r>
    </w:p>
    <w:p w14:paraId="0000001A" w14:textId="77777777" w:rsidR="0003719C" w:rsidRPr="00C706F0" w:rsidRDefault="00C706F0">
      <w:pPr>
        <w:numPr>
          <w:ilvl w:val="0"/>
          <w:numId w:val="2"/>
        </w:numPr>
        <w:jc w:val="both"/>
        <w:rPr>
          <w:lang w:val="it-IT"/>
        </w:rPr>
      </w:pPr>
      <w:r w:rsidRPr="00C706F0">
        <w:rPr>
          <w:b/>
          <w:lang w:val="it-IT"/>
        </w:rPr>
        <w:t>Scala dell</w:t>
      </w:r>
      <w:r w:rsidRPr="00C706F0">
        <w:rPr>
          <w:b/>
          <w:lang w:val="it-IT"/>
        </w:rPr>
        <w:t xml:space="preserve">’Efficacia Personale Percepita </w:t>
      </w:r>
      <w:r w:rsidRPr="00C706F0">
        <w:rPr>
          <w:lang w:val="it-IT"/>
        </w:rPr>
        <w:t>(EPP di Barbaranelli &amp; Capanna, 2001). I 19 item sono stati costruiti per valutare la percezione della capacità di affrontare una situazione problematica di chi opererà in contesti educativi e socio assistenziali. La scala di</w:t>
      </w:r>
      <w:r w:rsidRPr="00C706F0">
        <w:rPr>
          <w:lang w:val="it-IT"/>
        </w:rPr>
        <w:t xml:space="preserve"> valutazione adottata è di tipo Likert a cinque posizioni (da 1 per nulla capace a 5 molto capace). L’esame dello screen test in letteratura ha supportato la monodimensionalità della scala e le sue ottime proprietà psicometriche. </w:t>
      </w:r>
    </w:p>
    <w:p w14:paraId="0000001B" w14:textId="77777777" w:rsidR="0003719C" w:rsidRPr="00C706F0" w:rsidRDefault="00C706F0">
      <w:pPr>
        <w:numPr>
          <w:ilvl w:val="0"/>
          <w:numId w:val="2"/>
        </w:numPr>
        <w:jc w:val="both"/>
        <w:rPr>
          <w:lang w:val="it-IT"/>
        </w:rPr>
      </w:pPr>
      <w:r w:rsidRPr="00C706F0">
        <w:rPr>
          <w:b/>
          <w:lang w:val="it-IT"/>
        </w:rPr>
        <w:t>Percezione del rischio</w:t>
      </w:r>
      <w:r w:rsidRPr="00C706F0">
        <w:rPr>
          <w:lang w:val="it-IT"/>
        </w:rPr>
        <w:t>: S</w:t>
      </w:r>
      <w:r w:rsidRPr="00C706F0">
        <w:rPr>
          <w:lang w:val="it-IT"/>
        </w:rPr>
        <w:t xml:space="preserve">i tratta di una batteria di 8 items, in parte tratti da ricerche precedenti condotte sulla popolazione generale e sul personale sanitario coinvolto nella gestione di epidemie (Koh et al., 2005; Ibuka et al., 2010; Gee &amp; Skovdal, 2017), in cui si </w:t>
      </w:r>
      <w:r w:rsidRPr="00C706F0">
        <w:rPr>
          <w:lang w:val="it-IT"/>
        </w:rPr>
        <w:lastRenderedPageBreak/>
        <w:t xml:space="preserve">valuta la </w:t>
      </w:r>
      <w:r w:rsidRPr="00C706F0">
        <w:rPr>
          <w:lang w:val="it-IT"/>
        </w:rPr>
        <w:t>percezione del rischio personale riguardo all’esposizione al Covid-19 (items a, f, h) e la percezione del rischio rispetto a dispositivi e protocolli di prevenzione adottati dall’organizzazione (items b, c, d, e).</w:t>
      </w:r>
    </w:p>
    <w:p w14:paraId="0000001C" w14:textId="68A1331D" w:rsidR="0003719C" w:rsidRPr="00C706F0" w:rsidRDefault="00C706F0">
      <w:pPr>
        <w:numPr>
          <w:ilvl w:val="0"/>
          <w:numId w:val="2"/>
        </w:numPr>
        <w:rPr>
          <w:lang w:val="it-IT"/>
        </w:rPr>
      </w:pPr>
      <w:r w:rsidRPr="00C706F0">
        <w:rPr>
          <w:b/>
          <w:lang w:val="it-IT"/>
        </w:rPr>
        <w:t>1 domanda sui sentimenti provat</w:t>
      </w:r>
      <w:r>
        <w:rPr>
          <w:lang w:val="it-IT"/>
        </w:rPr>
        <w:t>i nella gestione del C</w:t>
      </w:r>
      <w:bookmarkStart w:id="0" w:name="_GoBack"/>
      <w:bookmarkEnd w:id="0"/>
      <w:r w:rsidRPr="00C706F0">
        <w:rPr>
          <w:lang w:val="it-IT"/>
        </w:rPr>
        <w:t>ovid-19 (con possibilità di scelta multipla da un elenco di aggettivi predefiniti)</w:t>
      </w:r>
    </w:p>
    <w:p w14:paraId="0000001D" w14:textId="74CC94BE" w:rsidR="0003719C" w:rsidRPr="00C706F0" w:rsidRDefault="00C706F0">
      <w:pPr>
        <w:numPr>
          <w:ilvl w:val="0"/>
          <w:numId w:val="2"/>
        </w:numPr>
        <w:rPr>
          <w:lang w:val="it-IT"/>
        </w:rPr>
      </w:pPr>
      <w:r w:rsidRPr="00C706F0">
        <w:rPr>
          <w:b/>
          <w:lang w:val="it-IT"/>
        </w:rPr>
        <w:t xml:space="preserve">1 Domanda aperta, </w:t>
      </w:r>
      <w:r w:rsidRPr="00C706F0">
        <w:rPr>
          <w:lang w:val="it-IT"/>
        </w:rPr>
        <w:t>che ha la finalità di integrare i dati quantitativi ottenuti dal questionario con altri d</w:t>
      </w:r>
      <w:r>
        <w:rPr>
          <w:lang w:val="it-IT"/>
        </w:rPr>
        <w:t xml:space="preserve">ati </w:t>
      </w:r>
      <w:r w:rsidRPr="00C706F0">
        <w:rPr>
          <w:lang w:val="it-IT"/>
        </w:rPr>
        <w:t xml:space="preserve">da analizzare con metodologie qualitative: </w:t>
      </w:r>
    </w:p>
    <w:p w14:paraId="0000001E" w14:textId="77777777" w:rsidR="0003719C" w:rsidRDefault="00C706F0">
      <w:pPr>
        <w:numPr>
          <w:ilvl w:val="1"/>
          <w:numId w:val="2"/>
        </w:numPr>
      </w:pPr>
      <w:r w:rsidRPr="00C706F0">
        <w:rPr>
          <w:lang w:val="it-IT"/>
        </w:rPr>
        <w:t>P</w:t>
      </w:r>
      <w:r w:rsidRPr="00C706F0">
        <w:rPr>
          <w:lang w:val="it-IT"/>
        </w:rPr>
        <w:t xml:space="preserve">ensa che l’aver prestato servizio nel corso dell’emergenza COVID-19 l’abbia, in qualche modo, arricchita come professionista e come persona? </w:t>
      </w:r>
      <w:r>
        <w:t xml:space="preserve">Se </w:t>
      </w:r>
      <w:proofErr w:type="spellStart"/>
      <w:r>
        <w:t>sì</w:t>
      </w:r>
      <w:proofErr w:type="spellEnd"/>
      <w:r>
        <w:t xml:space="preserve">, in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modo</w:t>
      </w:r>
      <w:proofErr w:type="spellEnd"/>
      <w:r>
        <w:t>?</w:t>
      </w:r>
    </w:p>
    <w:p w14:paraId="0000001F" w14:textId="77777777" w:rsidR="0003719C" w:rsidRDefault="00C706F0">
      <w:pPr>
        <w:jc w:val="both"/>
      </w:pPr>
      <w:r>
        <w:tab/>
      </w:r>
    </w:p>
    <w:p w14:paraId="00000020" w14:textId="77777777" w:rsidR="0003719C" w:rsidRDefault="0003719C">
      <w:pPr>
        <w:jc w:val="both"/>
      </w:pPr>
    </w:p>
    <w:p w14:paraId="00000021" w14:textId="77777777" w:rsidR="0003719C" w:rsidRDefault="00C706F0">
      <w:pPr>
        <w:jc w:val="both"/>
        <w:rPr>
          <w:b/>
        </w:rPr>
      </w:pPr>
      <w:r>
        <w:rPr>
          <w:b/>
        </w:rPr>
        <w:t>RIFERIMENTI BIBLIOGRAFICI</w:t>
      </w:r>
    </w:p>
    <w:p w14:paraId="00000022" w14:textId="77777777" w:rsidR="0003719C" w:rsidRDefault="0003719C">
      <w:pPr>
        <w:jc w:val="both"/>
        <w:rPr>
          <w:b/>
        </w:rPr>
      </w:pPr>
    </w:p>
    <w:p w14:paraId="00000023" w14:textId="77777777" w:rsidR="0003719C" w:rsidRPr="00C706F0" w:rsidRDefault="00C706F0">
      <w:pPr>
        <w:numPr>
          <w:ilvl w:val="0"/>
          <w:numId w:val="3"/>
        </w:numPr>
        <w:jc w:val="both"/>
        <w:rPr>
          <w:lang w:val="it-IT"/>
        </w:rPr>
      </w:pPr>
      <w:r w:rsidRPr="00C706F0">
        <w:rPr>
          <w:highlight w:val="white"/>
          <w:lang w:val="it-IT"/>
        </w:rPr>
        <w:t xml:space="preserve">Bottesi, G., Ghisi, M., Novara, C., Bertocchi, J., Boido, M., De </w:t>
      </w:r>
      <w:r w:rsidRPr="00C706F0">
        <w:rPr>
          <w:highlight w:val="white"/>
          <w:lang w:val="it-IT"/>
        </w:rPr>
        <w:t xml:space="preserve">Dominicis, I., &amp; Freeston, M. H. (2015). Intolerance of uncertainty scale (IUS-27 e IUS-12): Due studi preliminari. </w:t>
      </w:r>
      <w:r w:rsidRPr="00C706F0">
        <w:rPr>
          <w:i/>
          <w:highlight w:val="white"/>
          <w:lang w:val="it-IT"/>
        </w:rPr>
        <w:t>Psicoterapia Cognitiva e Comportamentale</w:t>
      </w:r>
      <w:r w:rsidRPr="00C706F0">
        <w:rPr>
          <w:highlight w:val="white"/>
          <w:lang w:val="it-IT"/>
        </w:rPr>
        <w:t xml:space="preserve">, </w:t>
      </w:r>
      <w:r w:rsidRPr="00C706F0">
        <w:rPr>
          <w:i/>
          <w:highlight w:val="white"/>
          <w:lang w:val="it-IT"/>
        </w:rPr>
        <w:t>21</w:t>
      </w:r>
      <w:r w:rsidRPr="00C706F0">
        <w:rPr>
          <w:highlight w:val="white"/>
          <w:lang w:val="it-IT"/>
        </w:rPr>
        <w:t>(3).</w:t>
      </w:r>
    </w:p>
    <w:p w14:paraId="00000024" w14:textId="77777777" w:rsidR="0003719C" w:rsidRDefault="00C706F0">
      <w:pPr>
        <w:numPr>
          <w:ilvl w:val="0"/>
          <w:numId w:val="3"/>
        </w:numPr>
        <w:jc w:val="both"/>
      </w:pPr>
      <w:r w:rsidRPr="00C706F0">
        <w:rPr>
          <w:highlight w:val="white"/>
          <w:lang w:val="it-IT"/>
        </w:rPr>
        <w:t>Bottesi, G., Noventa, S., Freeston, M. H., &amp;</w:t>
      </w:r>
      <w:r w:rsidRPr="00C706F0">
        <w:rPr>
          <w:highlight w:val="white"/>
          <w:lang w:val="it-IT"/>
        </w:rPr>
        <w:t xml:space="preserve"> Ghisi, M. (2019). </w:t>
      </w:r>
      <w:r>
        <w:rPr>
          <w:highlight w:val="white"/>
        </w:rPr>
        <w:t xml:space="preserve">Seeking certainty about Intolerance of Uncertainty: Addressing old and new issues through the Intolerance of Uncertainty Scale-Revised. </w:t>
      </w:r>
      <w:proofErr w:type="spellStart"/>
      <w:r>
        <w:rPr>
          <w:i/>
          <w:highlight w:val="white"/>
        </w:rPr>
        <w:t>PloS</w:t>
      </w:r>
      <w:proofErr w:type="spellEnd"/>
      <w:r>
        <w:rPr>
          <w:i/>
          <w:highlight w:val="white"/>
        </w:rPr>
        <w:t xml:space="preserve"> one</w:t>
      </w:r>
      <w:r>
        <w:rPr>
          <w:highlight w:val="white"/>
        </w:rPr>
        <w:t xml:space="preserve">, </w:t>
      </w:r>
      <w:r>
        <w:rPr>
          <w:i/>
          <w:highlight w:val="white"/>
        </w:rPr>
        <w:t>14</w:t>
      </w:r>
      <w:r>
        <w:rPr>
          <w:highlight w:val="white"/>
        </w:rPr>
        <w:t>(2).</w:t>
      </w:r>
    </w:p>
    <w:p w14:paraId="00000025" w14:textId="77777777" w:rsidR="0003719C" w:rsidRDefault="00C706F0">
      <w:pPr>
        <w:numPr>
          <w:ilvl w:val="0"/>
          <w:numId w:val="3"/>
        </w:numPr>
        <w:jc w:val="both"/>
        <w:rPr>
          <w:highlight w:val="white"/>
        </w:rPr>
      </w:pPr>
      <w:proofErr w:type="spellStart"/>
      <w:r>
        <w:rPr>
          <w:highlight w:val="white"/>
        </w:rPr>
        <w:t>Buhr</w:t>
      </w:r>
      <w:proofErr w:type="spellEnd"/>
      <w:r>
        <w:rPr>
          <w:highlight w:val="white"/>
        </w:rPr>
        <w:t xml:space="preserve">, K., &amp; </w:t>
      </w:r>
      <w:proofErr w:type="spellStart"/>
      <w:r>
        <w:rPr>
          <w:highlight w:val="white"/>
        </w:rPr>
        <w:t>Dugas</w:t>
      </w:r>
      <w:proofErr w:type="spellEnd"/>
      <w:r>
        <w:rPr>
          <w:highlight w:val="white"/>
        </w:rPr>
        <w:t>, M.J. (2002). The Intolerance of Uncertainty Scale: Psychometric p</w:t>
      </w:r>
      <w:r>
        <w:rPr>
          <w:highlight w:val="white"/>
        </w:rPr>
        <w:t xml:space="preserve">roperties of the English version. </w:t>
      </w:r>
      <w:proofErr w:type="spellStart"/>
      <w:r>
        <w:rPr>
          <w:i/>
          <w:highlight w:val="white"/>
        </w:rPr>
        <w:t>Behaviour</w:t>
      </w:r>
      <w:proofErr w:type="spellEnd"/>
      <w:r>
        <w:rPr>
          <w:i/>
          <w:highlight w:val="white"/>
        </w:rPr>
        <w:t xml:space="preserve"> Research and Therapy, 40</w:t>
      </w:r>
      <w:r>
        <w:rPr>
          <w:highlight w:val="white"/>
        </w:rPr>
        <w:t>, 931-945.</w:t>
      </w:r>
    </w:p>
    <w:p w14:paraId="00000026" w14:textId="77777777" w:rsidR="0003719C" w:rsidRDefault="00C706F0">
      <w:pPr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 xml:space="preserve">Carleton, R.N., Norton, P.J., &amp; </w:t>
      </w:r>
      <w:proofErr w:type="spellStart"/>
      <w:r>
        <w:rPr>
          <w:highlight w:val="white"/>
        </w:rPr>
        <w:t>Asmundson</w:t>
      </w:r>
      <w:proofErr w:type="spellEnd"/>
      <w:r>
        <w:rPr>
          <w:highlight w:val="white"/>
        </w:rPr>
        <w:t xml:space="preserve">, G.J.G. (2007). Fearing the unknown: A short version of the Intolerance of Uncertainty Scale. </w:t>
      </w:r>
      <w:r>
        <w:rPr>
          <w:i/>
          <w:highlight w:val="white"/>
        </w:rPr>
        <w:t>Journal of Anxiety Disorders, 21</w:t>
      </w:r>
      <w:r>
        <w:rPr>
          <w:highlight w:val="white"/>
        </w:rPr>
        <w:t>, 105-117</w:t>
      </w:r>
      <w:r>
        <w:rPr>
          <w:highlight w:val="white"/>
        </w:rPr>
        <w:t>.</w:t>
      </w:r>
    </w:p>
    <w:p w14:paraId="00000027" w14:textId="77777777" w:rsidR="0003719C" w:rsidRDefault="00C706F0">
      <w:pPr>
        <w:numPr>
          <w:ilvl w:val="0"/>
          <w:numId w:val="3"/>
        </w:numPr>
        <w:jc w:val="both"/>
      </w:pPr>
      <w:r>
        <w:rPr>
          <w:highlight w:val="white"/>
        </w:rPr>
        <w:t xml:space="preserve">Carver, C. S. (1997). You want to measure coping but your protocol’s too long: Consider the brief cope. </w:t>
      </w:r>
      <w:r>
        <w:rPr>
          <w:i/>
        </w:rPr>
        <w:t>International journal of behavioral medicine</w:t>
      </w:r>
      <w:r>
        <w:rPr>
          <w:highlight w:val="white"/>
        </w:rPr>
        <w:t xml:space="preserve">, </w:t>
      </w:r>
      <w:r>
        <w:rPr>
          <w:i/>
        </w:rPr>
        <w:t>4</w:t>
      </w:r>
      <w:r>
        <w:rPr>
          <w:highlight w:val="white"/>
        </w:rPr>
        <w:t>(1), 92.</w:t>
      </w:r>
    </w:p>
    <w:p w14:paraId="00000028" w14:textId="77777777" w:rsidR="0003719C" w:rsidRDefault="00C706F0">
      <w:pPr>
        <w:numPr>
          <w:ilvl w:val="0"/>
          <w:numId w:val="3"/>
        </w:numPr>
        <w:jc w:val="both"/>
        <w:rPr>
          <w:highlight w:val="white"/>
        </w:rPr>
      </w:pPr>
      <w:proofErr w:type="spellStart"/>
      <w:r>
        <w:rPr>
          <w:highlight w:val="white"/>
        </w:rPr>
        <w:t>Carver,C</w:t>
      </w:r>
      <w:proofErr w:type="spellEnd"/>
      <w:r>
        <w:rPr>
          <w:highlight w:val="white"/>
        </w:rPr>
        <w:t>. S.,</w:t>
      </w:r>
      <w:proofErr w:type="spellStart"/>
      <w:r>
        <w:rPr>
          <w:highlight w:val="white"/>
        </w:rPr>
        <w:t>Scheier,M</w:t>
      </w:r>
      <w:proofErr w:type="spellEnd"/>
      <w:r>
        <w:rPr>
          <w:highlight w:val="white"/>
        </w:rPr>
        <w:t xml:space="preserve">. F,. &amp; </w:t>
      </w:r>
      <w:proofErr w:type="spellStart"/>
      <w:r>
        <w:rPr>
          <w:highlight w:val="white"/>
        </w:rPr>
        <w:t>Wr</w:t>
      </w:r>
      <w:proofErr w:type="spellEnd"/>
      <w:r>
        <w:rPr>
          <w:highlight w:val="white"/>
        </w:rPr>
        <w:t xml:space="preserve"> J, K. (1999). Assessing coping strategies: A theoretically ba</w:t>
      </w:r>
      <w:r>
        <w:rPr>
          <w:highlight w:val="white"/>
        </w:rPr>
        <w:t xml:space="preserve">sed approach. Journal of Personality and </w:t>
      </w:r>
      <w:proofErr w:type="spellStart"/>
      <w:r>
        <w:rPr>
          <w:highlight w:val="white"/>
        </w:rPr>
        <w:t>Socia</w:t>
      </w:r>
      <w:proofErr w:type="spellEnd"/>
      <w:r>
        <w:rPr>
          <w:highlight w:val="white"/>
        </w:rPr>
        <w:t xml:space="preserve"> Psychology,56, 267-283.</w:t>
      </w:r>
    </w:p>
    <w:p w14:paraId="00000029" w14:textId="77777777" w:rsidR="0003719C" w:rsidRDefault="00C706F0">
      <w:pPr>
        <w:numPr>
          <w:ilvl w:val="0"/>
          <w:numId w:val="1"/>
        </w:numPr>
        <w:jc w:val="both"/>
      </w:pPr>
      <w:r>
        <w:rPr>
          <w:highlight w:val="white"/>
        </w:rPr>
        <w:t xml:space="preserve">Cohen, S., </w:t>
      </w:r>
      <w:proofErr w:type="spellStart"/>
      <w:r>
        <w:rPr>
          <w:highlight w:val="white"/>
        </w:rPr>
        <w:t>Kamarck</w:t>
      </w:r>
      <w:proofErr w:type="spellEnd"/>
      <w:r>
        <w:rPr>
          <w:highlight w:val="white"/>
        </w:rPr>
        <w:t xml:space="preserve">, T., and </w:t>
      </w:r>
      <w:proofErr w:type="spellStart"/>
      <w:r>
        <w:rPr>
          <w:highlight w:val="white"/>
        </w:rPr>
        <w:t>Mermelstein</w:t>
      </w:r>
      <w:proofErr w:type="spellEnd"/>
      <w:r>
        <w:rPr>
          <w:highlight w:val="white"/>
        </w:rPr>
        <w:t xml:space="preserve">, R. (1983). A global measure of perceived stress. </w:t>
      </w:r>
      <w:r>
        <w:rPr>
          <w:i/>
          <w:highlight w:val="white"/>
        </w:rPr>
        <w:t xml:space="preserve">Journal of Health and Social Behavior, 24, </w:t>
      </w:r>
      <w:r>
        <w:rPr>
          <w:highlight w:val="white"/>
        </w:rPr>
        <w:t>386-396.</w:t>
      </w:r>
    </w:p>
    <w:p w14:paraId="0000002A" w14:textId="77777777" w:rsidR="0003719C" w:rsidRDefault="00C706F0">
      <w:pPr>
        <w:numPr>
          <w:ilvl w:val="0"/>
          <w:numId w:val="1"/>
        </w:numPr>
        <w:jc w:val="both"/>
      </w:pPr>
      <w:r>
        <w:rPr>
          <w:highlight w:val="white"/>
        </w:rPr>
        <w:t>Cohen, S. and Williamson, G.(1988). Perceiv</w:t>
      </w:r>
      <w:r>
        <w:rPr>
          <w:highlight w:val="white"/>
        </w:rPr>
        <w:t xml:space="preserve">ed Stress in a Probability Sample of the United States. </w:t>
      </w:r>
      <w:proofErr w:type="spellStart"/>
      <w:r>
        <w:rPr>
          <w:highlight w:val="white"/>
        </w:rPr>
        <w:t>Spacapan</w:t>
      </w:r>
      <w:proofErr w:type="spellEnd"/>
      <w:r>
        <w:rPr>
          <w:highlight w:val="white"/>
        </w:rPr>
        <w:t xml:space="preserve">, S. and </w:t>
      </w:r>
      <w:proofErr w:type="spellStart"/>
      <w:r>
        <w:rPr>
          <w:highlight w:val="white"/>
        </w:rPr>
        <w:t>Oskamp</w:t>
      </w:r>
      <w:proofErr w:type="spellEnd"/>
      <w:r>
        <w:rPr>
          <w:highlight w:val="white"/>
        </w:rPr>
        <w:t xml:space="preserve">, S. (Eds.) </w:t>
      </w:r>
      <w:r>
        <w:rPr>
          <w:i/>
          <w:highlight w:val="white"/>
        </w:rPr>
        <w:t xml:space="preserve">The Social Psychology of Health. </w:t>
      </w:r>
      <w:r>
        <w:rPr>
          <w:highlight w:val="white"/>
        </w:rPr>
        <w:t>Newbury Park, CA: Sage.</w:t>
      </w:r>
    </w:p>
    <w:p w14:paraId="0000002B" w14:textId="77777777" w:rsidR="0003719C" w:rsidRPr="00C706F0" w:rsidRDefault="00C706F0">
      <w:pPr>
        <w:numPr>
          <w:ilvl w:val="0"/>
          <w:numId w:val="1"/>
        </w:numPr>
        <w:jc w:val="both"/>
        <w:rPr>
          <w:highlight w:val="white"/>
          <w:lang w:val="it-IT"/>
        </w:rPr>
      </w:pPr>
      <w:r w:rsidRPr="00C706F0">
        <w:rPr>
          <w:highlight w:val="white"/>
          <w:lang w:val="it-IT"/>
        </w:rPr>
        <w:t xml:space="preserve">Fossati, Andrea (2010). </w:t>
      </w:r>
      <w:r>
        <w:fldChar w:fldCharType="begin"/>
      </w:r>
      <w:r w:rsidRPr="00C706F0">
        <w:rPr>
          <w:lang w:val="it-IT"/>
        </w:rPr>
        <w:instrText xml:space="preserve"> HYPERLINK "https://www.futuremedicalinnovation.it//wp-content/uploads/2017/10/ps_</w:instrText>
      </w:r>
      <w:r w:rsidRPr="00C706F0">
        <w:rPr>
          <w:lang w:val="it-IT"/>
        </w:rPr>
        <w:instrText xml:space="preserve">questionario_stress.pdf" \h </w:instrText>
      </w:r>
      <w:r>
        <w:fldChar w:fldCharType="separate"/>
      </w:r>
      <w:r w:rsidRPr="00C706F0">
        <w:rPr>
          <w:color w:val="1155CC"/>
          <w:highlight w:val="white"/>
          <w:u w:val="single"/>
          <w:lang w:val="it-IT"/>
        </w:rPr>
        <w:t>https://www.futuremedicalinnovation.it//wp-content/uploads/2017/10/ps_questionario_stress.pdf</w:t>
      </w:r>
      <w:r>
        <w:rPr>
          <w:color w:val="1155CC"/>
          <w:highlight w:val="white"/>
          <w:u w:val="single"/>
        </w:rPr>
        <w:fldChar w:fldCharType="end"/>
      </w:r>
    </w:p>
    <w:p w14:paraId="0000002C" w14:textId="77777777" w:rsidR="0003719C" w:rsidRDefault="00C706F0">
      <w:pPr>
        <w:numPr>
          <w:ilvl w:val="0"/>
          <w:numId w:val="1"/>
        </w:numPr>
        <w:jc w:val="both"/>
        <w:rPr>
          <w:highlight w:val="white"/>
        </w:rPr>
      </w:pPr>
      <w:proofErr w:type="spellStart"/>
      <w:r>
        <w:rPr>
          <w:highlight w:val="white"/>
        </w:rPr>
        <w:t>García</w:t>
      </w:r>
      <w:proofErr w:type="spellEnd"/>
      <w:r>
        <w:rPr>
          <w:highlight w:val="white"/>
        </w:rPr>
        <w:t xml:space="preserve">, F. E., </w:t>
      </w:r>
      <w:proofErr w:type="spellStart"/>
      <w:r>
        <w:rPr>
          <w:highlight w:val="white"/>
        </w:rPr>
        <w:t>Barraza</w:t>
      </w:r>
      <w:proofErr w:type="spellEnd"/>
      <w:r>
        <w:rPr>
          <w:highlight w:val="white"/>
        </w:rPr>
        <w:t xml:space="preserve">-Peña, C. G., </w:t>
      </w:r>
      <w:proofErr w:type="spellStart"/>
      <w:r>
        <w:rPr>
          <w:highlight w:val="white"/>
        </w:rPr>
        <w:t>Wlodarczyk</w:t>
      </w:r>
      <w:proofErr w:type="spellEnd"/>
      <w:r>
        <w:rPr>
          <w:highlight w:val="white"/>
        </w:rPr>
        <w:t xml:space="preserve">, A., </w:t>
      </w:r>
      <w:proofErr w:type="spellStart"/>
      <w:r>
        <w:rPr>
          <w:highlight w:val="white"/>
        </w:rPr>
        <w:t>Alvear</w:t>
      </w:r>
      <w:proofErr w:type="spellEnd"/>
      <w:r>
        <w:rPr>
          <w:highlight w:val="white"/>
        </w:rPr>
        <w:t>-Carrasco, M., &amp; Reyes-Reyes, A. (2018). Psychometric properties of the Bri</w:t>
      </w:r>
      <w:r>
        <w:rPr>
          <w:highlight w:val="white"/>
        </w:rPr>
        <w:t xml:space="preserve">ef-COPE for the evaluation of coping strategies in the Chilean population. </w:t>
      </w:r>
      <w:proofErr w:type="spellStart"/>
      <w:r>
        <w:rPr>
          <w:i/>
          <w:highlight w:val="white"/>
        </w:rPr>
        <w:t>Psicologia</w:t>
      </w:r>
      <w:proofErr w:type="spellEnd"/>
      <w:r>
        <w:rPr>
          <w:i/>
          <w:highlight w:val="white"/>
        </w:rPr>
        <w:t xml:space="preserve">: </w:t>
      </w:r>
      <w:proofErr w:type="spellStart"/>
      <w:r>
        <w:rPr>
          <w:i/>
          <w:highlight w:val="white"/>
        </w:rPr>
        <w:t>Reflexão</w:t>
      </w:r>
      <w:proofErr w:type="spellEnd"/>
      <w:r>
        <w:rPr>
          <w:i/>
          <w:highlight w:val="white"/>
        </w:rPr>
        <w:t xml:space="preserve"> e </w:t>
      </w:r>
      <w:proofErr w:type="spellStart"/>
      <w:r>
        <w:rPr>
          <w:i/>
          <w:highlight w:val="white"/>
        </w:rPr>
        <w:t>Crítica</w:t>
      </w:r>
      <w:proofErr w:type="spellEnd"/>
      <w:r>
        <w:rPr>
          <w:highlight w:val="white"/>
        </w:rPr>
        <w:t xml:space="preserve">, </w:t>
      </w:r>
      <w:r>
        <w:rPr>
          <w:i/>
          <w:highlight w:val="white"/>
        </w:rPr>
        <w:t>31</w:t>
      </w:r>
      <w:r>
        <w:rPr>
          <w:highlight w:val="white"/>
        </w:rPr>
        <w:t>(1), 22.</w:t>
      </w:r>
    </w:p>
    <w:p w14:paraId="0000002D" w14:textId="77777777" w:rsidR="0003719C" w:rsidRDefault="00C706F0">
      <w:pPr>
        <w:numPr>
          <w:ilvl w:val="0"/>
          <w:numId w:val="1"/>
        </w:numPr>
        <w:jc w:val="both"/>
      </w:pPr>
      <w:r>
        <w:t xml:space="preserve">Gee, S., </w:t>
      </w:r>
      <w:proofErr w:type="spellStart"/>
      <w:r>
        <w:t>Skovdal</w:t>
      </w:r>
      <w:proofErr w:type="spellEnd"/>
      <w:r>
        <w:t>, M. (2017). The role of risk perception in willingness to respond to the 2014-2016 West African Ebola outbreak: a qualita</w:t>
      </w:r>
      <w:r>
        <w:t>tive study of international health care workers. Global Health Research and Policy. 2.</w:t>
      </w:r>
    </w:p>
    <w:p w14:paraId="0000002E" w14:textId="77777777" w:rsidR="0003719C" w:rsidRDefault="00C706F0">
      <w:pPr>
        <w:numPr>
          <w:ilvl w:val="0"/>
          <w:numId w:val="1"/>
        </w:numPr>
        <w:jc w:val="both"/>
      </w:pPr>
      <w:r>
        <w:t>Goldberg, L. R. (1993). The structure of phenotypic personality traits. American Psychologist, 48, 26–34.</w:t>
      </w:r>
    </w:p>
    <w:p w14:paraId="0000002F" w14:textId="77777777" w:rsidR="0003719C" w:rsidRDefault="00C706F0">
      <w:pPr>
        <w:numPr>
          <w:ilvl w:val="0"/>
          <w:numId w:val="1"/>
        </w:numPr>
        <w:jc w:val="both"/>
      </w:pPr>
      <w:proofErr w:type="spellStart"/>
      <w:r>
        <w:rPr>
          <w:rFonts w:ascii="Roboto" w:eastAsia="Roboto" w:hAnsi="Roboto" w:cs="Roboto"/>
          <w:color w:val="333333"/>
          <w:sz w:val="24"/>
          <w:szCs w:val="24"/>
          <w:highlight w:val="white"/>
        </w:rPr>
        <w:lastRenderedPageBreak/>
        <w:t>Ibuka</w:t>
      </w:r>
      <w:proofErr w:type="spellEnd"/>
      <w:r>
        <w:rPr>
          <w:rFonts w:ascii="Roboto" w:eastAsia="Roboto" w:hAnsi="Roboto" w:cs="Roboto"/>
          <w:color w:val="333333"/>
          <w:sz w:val="24"/>
          <w:szCs w:val="24"/>
          <w:highlight w:val="white"/>
        </w:rPr>
        <w:t xml:space="preserve">, Y., Chapman, G.B., Meyers, L.A. </w:t>
      </w:r>
      <w:r>
        <w:rPr>
          <w:rFonts w:ascii="Roboto" w:eastAsia="Roboto" w:hAnsi="Roboto" w:cs="Roboto"/>
          <w:i/>
          <w:color w:val="333333"/>
          <w:sz w:val="24"/>
          <w:szCs w:val="24"/>
          <w:highlight w:val="white"/>
        </w:rPr>
        <w:t>et al.</w:t>
      </w:r>
      <w:r>
        <w:rPr>
          <w:rFonts w:ascii="Roboto" w:eastAsia="Roboto" w:hAnsi="Roboto" w:cs="Roboto"/>
          <w:color w:val="333333"/>
          <w:sz w:val="24"/>
          <w:szCs w:val="24"/>
          <w:highlight w:val="white"/>
        </w:rPr>
        <w:t xml:space="preserve"> (2010). The dynam</w:t>
      </w:r>
      <w:r>
        <w:rPr>
          <w:rFonts w:ascii="Roboto" w:eastAsia="Roboto" w:hAnsi="Roboto" w:cs="Roboto"/>
          <w:color w:val="333333"/>
          <w:sz w:val="24"/>
          <w:szCs w:val="24"/>
          <w:highlight w:val="white"/>
        </w:rPr>
        <w:t xml:space="preserve">ics of risk perceptions and precautionary behavior in response to 2009 (H1N1) pandemic influenza. </w:t>
      </w:r>
      <w:r>
        <w:rPr>
          <w:rFonts w:ascii="Roboto" w:eastAsia="Roboto" w:hAnsi="Roboto" w:cs="Roboto"/>
          <w:i/>
          <w:color w:val="333333"/>
          <w:sz w:val="24"/>
          <w:szCs w:val="24"/>
          <w:highlight w:val="white"/>
        </w:rPr>
        <w:t>BMC Infect Dis</w:t>
      </w:r>
      <w:r>
        <w:rPr>
          <w:rFonts w:ascii="Roboto" w:eastAsia="Roboto" w:hAnsi="Roboto" w:cs="Roboto"/>
          <w:color w:val="333333"/>
          <w:sz w:val="24"/>
          <w:szCs w:val="24"/>
          <w:highlight w:val="white"/>
        </w:rPr>
        <w:t xml:space="preserve"> 10, 296.</w:t>
      </w:r>
    </w:p>
    <w:p w14:paraId="00000030" w14:textId="77777777" w:rsidR="0003719C" w:rsidRDefault="00C706F0">
      <w:pPr>
        <w:numPr>
          <w:ilvl w:val="0"/>
          <w:numId w:val="1"/>
        </w:numPr>
        <w:jc w:val="both"/>
      </w:pPr>
      <w:r>
        <w:t xml:space="preserve">John, O. P., </w:t>
      </w:r>
      <w:proofErr w:type="spellStart"/>
      <w:r>
        <w:t>Naumann</w:t>
      </w:r>
      <w:proofErr w:type="spellEnd"/>
      <w:r>
        <w:t>, L. P., &amp; Soto, C. J. (2008). Paradigm shift to the integrative Big-Five trait taxonomy: History, measurement, an</w:t>
      </w:r>
      <w:r>
        <w:t xml:space="preserve">d conceptual issues. In O. P. John, R. W. Robins, &amp; L. A. </w:t>
      </w:r>
      <w:proofErr w:type="spellStart"/>
      <w:r>
        <w:t>Pervin</w:t>
      </w:r>
      <w:proofErr w:type="spellEnd"/>
      <w:r>
        <w:t xml:space="preserve"> (Eds.), Handbook of personality: Theory and research (3rd ed., pp. 114–158). New York, NY: Guilford.</w:t>
      </w:r>
    </w:p>
    <w:p w14:paraId="00000031" w14:textId="77777777" w:rsidR="0003719C" w:rsidRDefault="00C706F0">
      <w:pPr>
        <w:numPr>
          <w:ilvl w:val="0"/>
          <w:numId w:val="1"/>
        </w:numPr>
        <w:jc w:val="both"/>
      </w:pPr>
      <w:r w:rsidRPr="00C706F0">
        <w:rPr>
          <w:lang w:val="it-IT"/>
        </w:rPr>
        <w:t xml:space="preserve">John, O. P., &amp; Srivastava, S. (1999). </w:t>
      </w:r>
      <w:r>
        <w:t>The Big Five trait taxonomy: History, measurement, a</w:t>
      </w:r>
      <w:r>
        <w:t xml:space="preserve">nd theoretical perspectives. In L. A. </w:t>
      </w:r>
      <w:proofErr w:type="spellStart"/>
      <w:r>
        <w:t>Pervin</w:t>
      </w:r>
      <w:proofErr w:type="spellEnd"/>
      <w:r>
        <w:t xml:space="preserve"> &amp; O. P. John (Eds.), Handbook of personality: Theory and research (2nd ed., pp.102–138). New York, NY: Guilford Press.</w:t>
      </w:r>
    </w:p>
    <w:p w14:paraId="00000032" w14:textId="77777777" w:rsidR="0003719C" w:rsidRDefault="00C706F0">
      <w:pPr>
        <w:numPr>
          <w:ilvl w:val="0"/>
          <w:numId w:val="1"/>
        </w:numPr>
        <w:jc w:val="both"/>
      </w:pPr>
      <w:r>
        <w:t xml:space="preserve">John, O. P., Donahue, E. M., &amp; </w:t>
      </w:r>
      <w:proofErr w:type="spellStart"/>
      <w:r>
        <w:t>Kentle</w:t>
      </w:r>
      <w:proofErr w:type="spellEnd"/>
      <w:r>
        <w:t xml:space="preserve">, R. L. (1991). The Big Five Inventory—Versions 4a and </w:t>
      </w:r>
      <w:r>
        <w:t>54. Berkeley, CA: University of California, Berkeley, Institute of Personality and Social Research.</w:t>
      </w:r>
    </w:p>
    <w:p w14:paraId="00000033" w14:textId="77777777" w:rsidR="0003719C" w:rsidRDefault="00C706F0">
      <w:pPr>
        <w:numPr>
          <w:ilvl w:val="0"/>
          <w:numId w:val="1"/>
        </w:numPr>
        <w:jc w:val="both"/>
      </w:pPr>
      <w:proofErr w:type="spellStart"/>
      <w:r>
        <w:t>Koh</w:t>
      </w:r>
      <w:proofErr w:type="spellEnd"/>
      <w:r>
        <w:t xml:space="preserve">, D., Lim, M., Chia, S., </w:t>
      </w:r>
      <w:proofErr w:type="spellStart"/>
      <w:r>
        <w:t>Ko</w:t>
      </w:r>
      <w:proofErr w:type="spellEnd"/>
      <w:r>
        <w:t xml:space="preserve">, S., </w:t>
      </w:r>
      <w:proofErr w:type="spellStart"/>
      <w:r>
        <w:t>Qian</w:t>
      </w:r>
      <w:proofErr w:type="spellEnd"/>
      <w:r>
        <w:t xml:space="preserve">, F., Ng, V., Tan, B. Wong, K., Chew, W., Tang, H., Ng, W., </w:t>
      </w:r>
      <w:proofErr w:type="spellStart"/>
      <w:r>
        <w:t>Muttakin</w:t>
      </w:r>
      <w:proofErr w:type="spellEnd"/>
      <w:r>
        <w:t xml:space="preserve">, Z., Emmanuel, S., </w:t>
      </w:r>
      <w:proofErr w:type="spellStart"/>
      <w:r>
        <w:t>Phoon</w:t>
      </w:r>
      <w:proofErr w:type="spellEnd"/>
      <w:r>
        <w:t xml:space="preserve">, F., </w:t>
      </w:r>
      <w:proofErr w:type="spellStart"/>
      <w:r>
        <w:t>Koh</w:t>
      </w:r>
      <w:proofErr w:type="spellEnd"/>
      <w:r>
        <w:t xml:space="preserve">, G., </w:t>
      </w:r>
      <w:proofErr w:type="spellStart"/>
      <w:r>
        <w:t>Kwa</w:t>
      </w:r>
      <w:proofErr w:type="spellEnd"/>
      <w:r>
        <w:t>, C.,</w:t>
      </w:r>
      <w:r>
        <w:t xml:space="preserve"> Tan, K., </w:t>
      </w:r>
      <w:proofErr w:type="spellStart"/>
      <w:r>
        <w:t>Fones</w:t>
      </w:r>
      <w:proofErr w:type="spellEnd"/>
      <w:r>
        <w:t>, C. (2005). Risk Perception and Impact of Severe Acute Respiratory Syndrome (SARS) on Work and Personal Lives of Healthcare Workers in Singapore. Medical care. 43. 676-82.</w:t>
      </w:r>
    </w:p>
    <w:p w14:paraId="00000034" w14:textId="77777777" w:rsidR="0003719C" w:rsidRDefault="00C706F0">
      <w:pPr>
        <w:numPr>
          <w:ilvl w:val="0"/>
          <w:numId w:val="1"/>
        </w:numPr>
        <w:jc w:val="both"/>
      </w:pPr>
      <w:r w:rsidRPr="00C706F0">
        <w:rPr>
          <w:highlight w:val="white"/>
          <w:lang w:val="it-IT"/>
        </w:rPr>
        <w:t xml:space="preserve">Lauriola, M., Mosca, O., &amp; Carleton, R. N. (2016). </w:t>
      </w:r>
      <w:r>
        <w:rPr>
          <w:highlight w:val="white"/>
        </w:rPr>
        <w:t>Hierarchical fact</w:t>
      </w:r>
      <w:r>
        <w:rPr>
          <w:highlight w:val="white"/>
        </w:rPr>
        <w:t xml:space="preserve">or structure of the intolerance of uncertainty scale short form (IUS-12) in the Italian version. </w:t>
      </w:r>
      <w:r>
        <w:rPr>
          <w:i/>
        </w:rPr>
        <w:t>TPM: Testing, Psychometrics, Methodology in Applied Psychology</w:t>
      </w:r>
      <w:r>
        <w:rPr>
          <w:highlight w:val="white"/>
        </w:rPr>
        <w:t xml:space="preserve">, </w:t>
      </w:r>
      <w:r>
        <w:rPr>
          <w:i/>
        </w:rPr>
        <w:t>23</w:t>
      </w:r>
      <w:r>
        <w:rPr>
          <w:highlight w:val="white"/>
        </w:rPr>
        <w:t>(3).</w:t>
      </w:r>
    </w:p>
    <w:p w14:paraId="00000035" w14:textId="77777777" w:rsidR="0003719C" w:rsidRDefault="00C706F0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Martin, R. A., &amp;</w:t>
      </w:r>
      <w:r>
        <w:rPr>
          <w:highlight w:val="white"/>
        </w:rPr>
        <w:t xml:space="preserve">  </w:t>
      </w:r>
      <w:proofErr w:type="spellStart"/>
      <w:r>
        <w:rPr>
          <w:highlight w:val="white"/>
        </w:rPr>
        <w:t>Lefcourt</w:t>
      </w:r>
      <w:proofErr w:type="spellEnd"/>
      <w:r>
        <w:rPr>
          <w:highlight w:val="white"/>
        </w:rPr>
        <w:t xml:space="preserve">, H.M. (1983). Sense of humor as a moderator of the relation between stressors and moods. </w:t>
      </w:r>
      <w:r>
        <w:rPr>
          <w:i/>
          <w:highlight w:val="white"/>
        </w:rPr>
        <w:t>Journal of Personality and Social Psychology,</w:t>
      </w:r>
      <w:r>
        <w:rPr>
          <w:highlight w:val="white"/>
        </w:rPr>
        <w:t xml:space="preserve"> 45, 1313–1324.</w:t>
      </w:r>
    </w:p>
    <w:p w14:paraId="00000036" w14:textId="77777777" w:rsidR="0003719C" w:rsidRDefault="00C706F0">
      <w:pPr>
        <w:numPr>
          <w:ilvl w:val="0"/>
          <w:numId w:val="1"/>
        </w:numPr>
        <w:jc w:val="both"/>
        <w:rPr>
          <w:highlight w:val="white"/>
        </w:rPr>
      </w:pPr>
      <w:proofErr w:type="spellStart"/>
      <w:r>
        <w:rPr>
          <w:highlight w:val="white"/>
        </w:rPr>
        <w:t>McEvoy</w:t>
      </w:r>
      <w:proofErr w:type="spellEnd"/>
      <w:r>
        <w:rPr>
          <w:highlight w:val="white"/>
        </w:rPr>
        <w:t>, P. M., &amp;</w:t>
      </w:r>
      <w:r>
        <w:rPr>
          <w:highlight w:val="white"/>
        </w:rPr>
        <w:t xml:space="preserve"> Mahoney, A. E. (2011). Achieving certainty about the structure of intolerance of uncertainty in a treatment-seeking sample with anxiety and depression. Journal of Anxiety Disorders, 25, 112-122. </w:t>
      </w:r>
    </w:p>
    <w:p w14:paraId="00000037" w14:textId="77777777" w:rsidR="0003719C" w:rsidRDefault="00C706F0">
      <w:pPr>
        <w:numPr>
          <w:ilvl w:val="0"/>
          <w:numId w:val="1"/>
        </w:numPr>
        <w:jc w:val="both"/>
      </w:pPr>
      <w:r w:rsidRPr="00C706F0">
        <w:rPr>
          <w:lang w:val="it-IT"/>
        </w:rPr>
        <w:t xml:space="preserve">McCrae, R. R., &amp; Costa, P. T. (2008). </w:t>
      </w:r>
      <w:r>
        <w:t>The Five-Factor theor</w:t>
      </w:r>
      <w:r>
        <w:t xml:space="preserve">y of personality. In O. P. John, R. W. Robins, &amp; L. A. </w:t>
      </w:r>
      <w:proofErr w:type="spellStart"/>
      <w:r>
        <w:t>Pervin</w:t>
      </w:r>
      <w:proofErr w:type="spellEnd"/>
      <w:r>
        <w:t xml:space="preserve"> (Eds.), Handbook of personality: Theory and research (3rd ed., pp. 159–181). New York, NY: Guilford.</w:t>
      </w:r>
    </w:p>
    <w:p w14:paraId="00000038" w14:textId="77777777" w:rsidR="0003719C" w:rsidRDefault="00C706F0">
      <w:pPr>
        <w:numPr>
          <w:ilvl w:val="0"/>
          <w:numId w:val="1"/>
        </w:numPr>
        <w:jc w:val="both"/>
      </w:pPr>
      <w:r>
        <w:t>Norton, P.J. (2005). A psychometric analysis of the Intolerance of Uncertainty Scale among fo</w:t>
      </w:r>
      <w:r>
        <w:t xml:space="preserve">ur racial groups. </w:t>
      </w:r>
      <w:r>
        <w:rPr>
          <w:i/>
        </w:rPr>
        <w:t>Journal of Anxiety Disorders, 6</w:t>
      </w:r>
      <w:r>
        <w:t>, 699-707.</w:t>
      </w:r>
    </w:p>
    <w:p w14:paraId="00000039" w14:textId="77777777" w:rsidR="0003719C" w:rsidRDefault="00C706F0">
      <w:pPr>
        <w:numPr>
          <w:ilvl w:val="0"/>
          <w:numId w:val="1"/>
        </w:numPr>
        <w:jc w:val="both"/>
      </w:pPr>
      <w:r>
        <w:t xml:space="preserve">Soto, C.J. &amp; John, O.P. (2017a). The next Big Five Inventory (BFI-2): Developing and </w:t>
      </w:r>
      <w:proofErr w:type="spellStart"/>
      <w:r>
        <w:t>assessing</w:t>
      </w:r>
      <w:proofErr w:type="spellEnd"/>
      <w:r>
        <w:t xml:space="preserve"> a hierarchical model with 15 facets to enhance bandwidth, fidelity, and predictive power. J </w:t>
      </w:r>
      <w:proofErr w:type="spellStart"/>
      <w:r>
        <w:t>Pers</w:t>
      </w:r>
      <w:proofErr w:type="spellEnd"/>
      <w:r>
        <w:t xml:space="preserve"> </w:t>
      </w:r>
      <w:proofErr w:type="spellStart"/>
      <w:r>
        <w:t>Soc</w:t>
      </w:r>
      <w:proofErr w:type="spellEnd"/>
      <w:r>
        <w:t xml:space="preserve"> </w:t>
      </w:r>
      <w:r>
        <w:t>Psychol. 2017;113(1):117‐143. doi:10.1037/pspp0000096.</w:t>
      </w:r>
    </w:p>
    <w:p w14:paraId="0000003A" w14:textId="77777777" w:rsidR="0003719C" w:rsidRDefault="00C706F0">
      <w:pPr>
        <w:numPr>
          <w:ilvl w:val="0"/>
          <w:numId w:val="1"/>
        </w:numPr>
        <w:spacing w:after="240"/>
        <w:jc w:val="both"/>
      </w:pPr>
      <w:r>
        <w:t>Soto, C.J., &amp; John, O.P. (2017b). Short and extra-short forms of the Big Five Inventory–2: The BFI-2-S and BFI-2-XS. Journal of Research in Personality, 68, 69-81.</w:t>
      </w:r>
    </w:p>
    <w:p w14:paraId="0000003B" w14:textId="77777777" w:rsidR="0003719C" w:rsidRDefault="0003719C">
      <w:pPr>
        <w:ind w:left="720"/>
        <w:jc w:val="both"/>
        <w:rPr>
          <w:b/>
        </w:rPr>
      </w:pPr>
    </w:p>
    <w:sectPr w:rsidR="0003719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B4629"/>
    <w:multiLevelType w:val="multilevel"/>
    <w:tmpl w:val="88F6C4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3230F35"/>
    <w:multiLevelType w:val="multilevel"/>
    <w:tmpl w:val="4C3C24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E1122AA"/>
    <w:multiLevelType w:val="multilevel"/>
    <w:tmpl w:val="00A413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3719C"/>
    <w:rsid w:val="0003719C"/>
    <w:rsid w:val="00C7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1802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Alessia Bertolazzi</cp:lastModifiedBy>
  <cp:revision>2</cp:revision>
  <dcterms:created xsi:type="dcterms:W3CDTF">2020-06-19T15:54:00Z</dcterms:created>
  <dcterms:modified xsi:type="dcterms:W3CDTF">2020-06-19T15:57:00Z</dcterms:modified>
</cp:coreProperties>
</file>